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C7" w:rsidRDefault="004E19C7" w:rsidP="004E19C7">
      <w:pPr>
        <w:pStyle w:val="Nadpis1"/>
        <w:keepNext w:val="0"/>
        <w:keepLines w:val="0"/>
        <w:spacing w:before="120" w:line="288" w:lineRule="auto"/>
        <w:ind w:left="360" w:firstLine="0"/>
        <w:rPr>
          <w:rFonts w:ascii="Arial" w:eastAsia="Arial" w:hAnsi="Arial" w:cs="Arial"/>
          <w:color w:val="000000"/>
          <w:sz w:val="32"/>
          <w:szCs w:val="32"/>
        </w:rPr>
      </w:pPr>
      <w:bookmarkStart w:id="0" w:name="_Toc480465665"/>
      <w:r>
        <w:rPr>
          <w:rFonts w:ascii="Arial" w:eastAsia="Arial" w:hAnsi="Arial" w:cs="Arial"/>
          <w:color w:val="000000"/>
          <w:sz w:val="32"/>
          <w:szCs w:val="32"/>
        </w:rPr>
        <w:t>Příloha 9: Indikativní seznam evaluačních aktivit ŘO se vztahem k Národní RIS3 strategii</w:t>
      </w:r>
      <w:bookmarkEnd w:id="0"/>
    </w:p>
    <w:p w:rsidR="004E19C7" w:rsidRPr="004E19C7" w:rsidRDefault="004E19C7" w:rsidP="004E19C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227"/>
        <w:gridCol w:w="4013"/>
        <w:gridCol w:w="3136"/>
      </w:tblGrid>
      <w:tr w:rsidR="004E19C7" w:rsidRPr="006660AF" w:rsidTr="004E19C7">
        <w:trPr>
          <w:trHeight w:val="543"/>
          <w:tblHeader/>
        </w:trPr>
        <w:tc>
          <w:tcPr>
            <w:tcW w:w="454" w:type="pct"/>
            <w:shd w:val="clear" w:color="000000" w:fill="D9D9D9"/>
            <w:noWrap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Times New Roman" w:cs="Times New Roman"/>
                <w:b/>
                <w:bCs/>
              </w:rPr>
              <w:t>OP</w:t>
            </w:r>
          </w:p>
        </w:tc>
        <w:tc>
          <w:tcPr>
            <w:tcW w:w="666" w:type="pct"/>
            <w:shd w:val="clear" w:color="000000" w:fill="D9D9D9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Times New Roman" w:cs="Times New Roman"/>
                <w:b/>
                <w:bCs/>
              </w:rPr>
              <w:t xml:space="preserve"> Číslo evaluace</w:t>
            </w:r>
          </w:p>
        </w:tc>
        <w:tc>
          <w:tcPr>
            <w:tcW w:w="2178" w:type="pct"/>
            <w:shd w:val="clear" w:color="000000" w:fill="D9D9D9"/>
            <w:noWrap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Times New Roman" w:cs="Times New Roman"/>
                <w:b/>
                <w:bCs/>
              </w:rPr>
              <w:t>Název evaluace</w:t>
            </w:r>
          </w:p>
        </w:tc>
        <w:tc>
          <w:tcPr>
            <w:tcW w:w="1702" w:type="pct"/>
            <w:shd w:val="clear" w:color="000000" w:fill="D9D9D9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Arial" w:cs="Times New Roman"/>
                <w:b/>
                <w:bCs/>
              </w:rPr>
              <w:t>Doba realizace evaluace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Ex ante hodnocení OP PIK 2014 - 2020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2013 – 2014 - ukončeno</w:t>
            </w:r>
          </w:p>
        </w:tc>
      </w:tr>
      <w:tr w:rsidR="004E19C7" w:rsidRPr="006660AF" w:rsidTr="004E19C7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3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Analýzy pro ex ante vyhodnocení finančních nástrojů OP PIK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2014 – 4Q 2015 – v realizaci</w:t>
            </w:r>
          </w:p>
        </w:tc>
      </w:tr>
      <w:tr w:rsidR="004E19C7" w:rsidRPr="006660AF" w:rsidTr="004E19C7">
        <w:trPr>
          <w:trHeight w:val="1087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4</w:t>
            </w:r>
          </w:p>
        </w:tc>
        <w:tc>
          <w:tcPr>
            <w:tcW w:w="2178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 xml:space="preserve">Hodnocení příspěvku programu k plnění cílů Dohody o partnerství včetně hodnocení 3E na úrovni prioritních os a celého OP PIK  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 xml:space="preserve">1Q – 4Q </w:t>
            </w:r>
            <w:proofErr w:type="gramStart"/>
            <w:r w:rsidRPr="006660AF">
              <w:rPr>
                <w:rFonts w:eastAsia="Arial" w:cs="Times New Roman"/>
              </w:rPr>
              <w:t>2016 –  I. část</w:t>
            </w:r>
            <w:proofErr w:type="gramEnd"/>
            <w:r w:rsidRPr="006660AF">
              <w:rPr>
                <w:rFonts w:eastAsia="Arial" w:cs="Times New Roman"/>
              </w:rPr>
              <w:t>;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2178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2017 – 1Q 2019 – II. část</w:t>
            </w:r>
          </w:p>
        </w:tc>
      </w:tr>
      <w:tr w:rsidR="004E19C7" w:rsidRPr="006660AF" w:rsidTr="004E19C7">
        <w:trPr>
          <w:trHeight w:val="293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5</w:t>
            </w:r>
          </w:p>
        </w:tc>
        <w:tc>
          <w:tcPr>
            <w:tcW w:w="2178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Zhodnocení relevance rozvojových potřeb OP PIK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 xml:space="preserve">1Q – 4Q </w:t>
            </w:r>
            <w:proofErr w:type="gramStart"/>
            <w:r w:rsidRPr="006660AF">
              <w:rPr>
                <w:rFonts w:eastAsia="Arial" w:cs="Times New Roman"/>
              </w:rPr>
              <w:t>2016 –  I. část</w:t>
            </w:r>
            <w:proofErr w:type="gramEnd"/>
            <w:r w:rsidRPr="006660AF">
              <w:rPr>
                <w:rFonts w:eastAsia="Arial" w:cs="Times New Roman"/>
              </w:rPr>
              <w:t>;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2178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2017 – 1Q 2019 – aktualizace</w:t>
            </w:r>
          </w:p>
        </w:tc>
      </w:tr>
      <w:tr w:rsidR="004E19C7" w:rsidRPr="006660AF" w:rsidTr="004E19C7">
        <w:trPr>
          <w:trHeight w:val="2173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12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zvýšení konkurenceschopnosti a internacionalizace podpořených podniků s důrazem na MSP (PO-2, SC 2.1 a 2.2), včetně hodnocení 3E na úrovni jednotlivých výzev, investičních priorit, prioritních os a celého OP PIK i na úrovni vybraných projektů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2019 – 2Q 2020 (v závislosti na harmonogramu relevantních výzev)</w:t>
            </w:r>
          </w:p>
        </w:tc>
      </w:tr>
      <w:tr w:rsidR="004E19C7" w:rsidRPr="006660AF" w:rsidTr="004E19C7">
        <w:trPr>
          <w:trHeight w:val="190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14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inovační výkonnost a konkurenceschopnost podpořených podniků (PO-1, SC 1.1), včetně hodnocení 3E na úrovni jednotlivých výzev, investičních priorit, prioritních os a celého OP PIK i na úrovni vybraných projektů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2019 – 4Q 2020 (v závislosti na harmonogramu relevantních výzev)</w:t>
            </w:r>
          </w:p>
        </w:tc>
      </w:tr>
      <w:tr w:rsidR="004E19C7" w:rsidRPr="006660AF" w:rsidTr="004E19C7">
        <w:trPr>
          <w:trHeight w:val="190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15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 xml:space="preserve">Analýza dopadu programu na spolupráci podpořených podniků ve </w:t>
            </w:r>
            <w:proofErr w:type="spellStart"/>
            <w:r w:rsidRPr="006660AF">
              <w:rPr>
                <w:rFonts w:eastAsia="Times New Roman" w:cs="Times New Roman"/>
              </w:rPr>
              <w:t>VaVaI</w:t>
            </w:r>
            <w:proofErr w:type="spellEnd"/>
            <w:r w:rsidRPr="006660AF">
              <w:rPr>
                <w:rFonts w:eastAsia="Times New Roman" w:cs="Times New Roman"/>
              </w:rPr>
              <w:t xml:space="preserve"> a na jejich konkurenceschopnost (PO-1, SC 1.2), včetně hodnocení 3E na úrovni jednotlivých výzev, investičních priorit, prioritních os a celého OP PIK i na úrovni vybraných projektů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2019 – 4Q 2020 (v závislosti na harmonogramu relevantních výzev)</w:t>
            </w:r>
          </w:p>
        </w:tc>
      </w:tr>
      <w:tr w:rsidR="004E19C7" w:rsidRPr="006660AF" w:rsidTr="004E19C7">
        <w:trPr>
          <w:trHeight w:val="2173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OP PIK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18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rozsah pokrytí vysokorychlostním přístupem k internetu a zvýšení využití potenciálu ICT sektoru pro konkurenceschopnost ekonomiky (PO-4), včetně hodnocení 3E na úrovni jednotlivých výzev, investičních priorit, prioritních os a celého OP PIK i na úrovni vybraných projektů.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2019 – 4Q 2020 (v závislosti na harmonogram relevantních výzev)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19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působení finančních nástrojů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1Q – 4Q 2020</w:t>
            </w:r>
          </w:p>
        </w:tc>
      </w:tr>
      <w:tr w:rsidR="004E19C7" w:rsidRPr="006660AF" w:rsidTr="004E19C7">
        <w:trPr>
          <w:trHeight w:val="815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D3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Dopad podpory z programu OP PIK na vznik a rozvoj nových podnikatelských subjektů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První analýza  4Q 2017 – 4Q 2018, aktualizace 3Q 2020 -1Q 2121</w:t>
            </w:r>
          </w:p>
        </w:tc>
      </w:tr>
      <w:tr w:rsidR="004E19C7" w:rsidRPr="006660AF" w:rsidTr="004E19C7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D4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Revize Předběžného posouzení finančních nástrojů OP PIK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2018 – 4Q 2018</w:t>
            </w:r>
          </w:p>
        </w:tc>
      </w:tr>
      <w:tr w:rsidR="004E19C7" w:rsidRPr="006660AF" w:rsidTr="004E19C7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D5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regionálních disparit v působení a dopadech programu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1Q 2019 – 4Q 2020</w:t>
            </w:r>
          </w:p>
        </w:tc>
      </w:tr>
      <w:tr w:rsidR="004E19C7" w:rsidRPr="006660AF" w:rsidTr="004E19C7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D6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Ex post hodnocení OP PIK (podklad pro NOK/EK dle čl. 57 ON)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2022 – 4Q 2023</w:t>
            </w:r>
          </w:p>
        </w:tc>
      </w:tr>
      <w:tr w:rsidR="004E19C7" w:rsidRPr="006660AF" w:rsidTr="004E19C7">
        <w:trPr>
          <w:trHeight w:val="815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1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Ověřovací studie prostředí pro realizaci intervencí PO 1, PO 2 a PO 3 OP VVV a ověření relevance jejich specifických cílů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2016 – Aktuálně v realizaci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2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Průběžná evaluace implementace OP VVV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2016 – 2023 – Aktuálně v realizaci</w:t>
            </w:r>
          </w:p>
        </w:tc>
      </w:tr>
      <w:tr w:rsidR="004E19C7" w:rsidRPr="006660AF" w:rsidTr="004E19C7">
        <w:trPr>
          <w:trHeight w:val="815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4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Evaluace individuálních projektů systémových a individuálních projektů (</w:t>
            </w:r>
            <w:proofErr w:type="spellStart"/>
            <w:proofErr w:type="gramStart"/>
            <w:r w:rsidRPr="006660AF">
              <w:rPr>
                <w:rFonts w:eastAsia="Times New Roman" w:cs="Times New Roman"/>
              </w:rPr>
              <w:t>IPs</w:t>
            </w:r>
            <w:proofErr w:type="spellEnd"/>
            <w:r w:rsidRPr="006660AF">
              <w:rPr>
                <w:rFonts w:eastAsia="Times New Roman" w:cs="Times New Roman"/>
              </w:rPr>
              <w:t>)  v rámci</w:t>
            </w:r>
            <w:proofErr w:type="gramEnd"/>
            <w:r w:rsidRPr="006660AF">
              <w:rPr>
                <w:rFonts w:eastAsia="Times New Roman" w:cs="Times New Roman"/>
              </w:rPr>
              <w:t xml:space="preserve"> PO1, 2, OP VVV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2016 – 2018</w:t>
            </w:r>
          </w:p>
        </w:tc>
      </w:tr>
      <w:tr w:rsidR="004E19C7" w:rsidRPr="006660AF" w:rsidTr="004E19C7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6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Ověření relevance programu, posouzení územní dimenze, posouzení S/K vazeb.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3Q 2018 – 4Q 2018</w:t>
            </w:r>
          </w:p>
        </w:tc>
      </w:tr>
      <w:tr w:rsidR="004E19C7" w:rsidRPr="006660AF" w:rsidTr="004E19C7">
        <w:trPr>
          <w:trHeight w:val="815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7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 xml:space="preserve">Hodnocení posilování kapacit pro kvalitní výzkum, rozvoj VŠ a lidských zdrojů pro </w:t>
            </w:r>
            <w:proofErr w:type="spellStart"/>
            <w:r w:rsidRPr="006660AF">
              <w:rPr>
                <w:rFonts w:eastAsia="Times New Roman" w:cs="Times New Roman"/>
              </w:rPr>
              <w:t>VaV</w:t>
            </w:r>
            <w:proofErr w:type="spellEnd"/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2018 - 2023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 č. 5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První průběžná evaluace OP PPR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2016 – 1Q 2017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 č. 7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Druhá průběžná evaluace OP PPR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3Q 2018 – 2Q 2019</w:t>
            </w:r>
          </w:p>
        </w:tc>
      </w:tr>
      <w:tr w:rsidR="004E19C7" w:rsidRPr="006660AF" w:rsidTr="004E19C7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 č. 8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Souhrnná závěrečná evaluace OP PPR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4E19C7" w:rsidRPr="006660AF" w:rsidRDefault="004E19C7" w:rsidP="004E19C7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3Q 2021 – 4Q 2022</w:t>
            </w:r>
          </w:p>
        </w:tc>
      </w:tr>
    </w:tbl>
    <w:p w:rsidR="00F10FC5" w:rsidRDefault="00F10FC5">
      <w:bookmarkStart w:id="1" w:name="_GoBack"/>
      <w:bookmarkEnd w:id="1"/>
    </w:p>
    <w:sectPr w:rsidR="00F10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C7"/>
    <w:rsid w:val="00250C88"/>
    <w:rsid w:val="004E19C7"/>
    <w:rsid w:val="00F1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rsid w:val="004E19C7"/>
    <w:pPr>
      <w:keepNext/>
      <w:keepLines/>
      <w:widowControl w:val="0"/>
      <w:spacing w:before="480" w:after="0"/>
      <w:ind w:left="432" w:hanging="432"/>
      <w:outlineLvl w:val="0"/>
    </w:pPr>
    <w:rPr>
      <w:rFonts w:ascii="Cambria" w:eastAsia="Cambria" w:hAnsi="Cambria" w:cs="Cambria"/>
      <w:b/>
      <w:color w:val="366091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19C7"/>
    <w:rPr>
      <w:rFonts w:ascii="Cambria" w:eastAsia="Cambria" w:hAnsi="Cambria" w:cs="Cambria"/>
      <w:b/>
      <w:color w:val="366091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rsid w:val="004E19C7"/>
    <w:pPr>
      <w:keepNext/>
      <w:keepLines/>
      <w:widowControl w:val="0"/>
      <w:spacing w:before="480" w:after="0"/>
      <w:ind w:left="432" w:hanging="432"/>
      <w:outlineLvl w:val="0"/>
    </w:pPr>
    <w:rPr>
      <w:rFonts w:ascii="Cambria" w:eastAsia="Cambria" w:hAnsi="Cambria" w:cs="Cambria"/>
      <w:b/>
      <w:color w:val="366091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19C7"/>
    <w:rPr>
      <w:rFonts w:ascii="Cambria" w:eastAsia="Cambria" w:hAnsi="Cambria" w:cs="Cambria"/>
      <w:b/>
      <w:color w:val="366091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Fúrová Petra</dc:creator>
  <cp:lastModifiedBy>Fúrová Petra</cp:lastModifiedBy>
  <cp:revision>1</cp:revision>
  <dcterms:created xsi:type="dcterms:W3CDTF">2017-04-21T12:12:00Z</dcterms:created>
  <dcterms:modified xsi:type="dcterms:W3CDTF">2017-04-21T12:17:00Z</dcterms:modified>
</cp:coreProperties>
</file>